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3B8" w:rsidRPr="006003B8" w:rsidRDefault="008332A4" w:rsidP="006003B8">
      <w:pPr>
        <w:spacing w:after="0" w:line="300" w:lineRule="auto"/>
        <w:jc w:val="center"/>
        <w:rPr>
          <w:rFonts w:ascii="Times New Roman" w:hAnsi="Times New Roman"/>
          <w:b/>
          <w:sz w:val="32"/>
          <w:szCs w:val="32"/>
          <w:lang w:eastAsia="zh-CN"/>
        </w:rPr>
      </w:pPr>
      <w:r w:rsidRPr="008332A4">
        <w:rPr>
          <w:rFonts w:ascii="Times New Roman" w:hAnsi="Times New Roman" w:hint="eastAsia"/>
          <w:b/>
          <w:sz w:val="32"/>
          <w:szCs w:val="32"/>
          <w:lang w:eastAsia="zh-CN"/>
        </w:rPr>
        <w:t>百好团块（</w:t>
      </w:r>
      <w:r w:rsidRPr="008332A4">
        <w:rPr>
          <w:rFonts w:ascii="Times New Roman" w:hAnsi="Times New Roman"/>
          <w:b/>
          <w:sz w:val="32"/>
          <w:szCs w:val="32"/>
          <w:lang w:eastAsia="zh-CN"/>
        </w:rPr>
        <w:t>一期</w:t>
      </w:r>
      <w:r w:rsidRPr="008332A4">
        <w:rPr>
          <w:rFonts w:ascii="Times New Roman" w:hAnsi="Times New Roman" w:hint="eastAsia"/>
          <w:b/>
          <w:sz w:val="32"/>
          <w:szCs w:val="32"/>
          <w:lang w:eastAsia="zh-CN"/>
        </w:rPr>
        <w:t>）地块</w:t>
      </w:r>
      <w:r w:rsidR="006003B8" w:rsidRPr="006003B8">
        <w:rPr>
          <w:rFonts w:ascii="Times New Roman" w:hAnsi="Times New Roman"/>
          <w:b/>
          <w:sz w:val="32"/>
          <w:szCs w:val="32"/>
          <w:lang w:eastAsia="zh-CN"/>
        </w:rPr>
        <w:t>土壤</w:t>
      </w:r>
      <w:bookmarkStart w:id="0" w:name="_GoBack"/>
      <w:bookmarkEnd w:id="0"/>
      <w:r w:rsidR="006003B8" w:rsidRPr="006003B8">
        <w:rPr>
          <w:rFonts w:ascii="Times New Roman" w:hAnsi="Times New Roman"/>
          <w:b/>
          <w:sz w:val="32"/>
          <w:szCs w:val="32"/>
          <w:lang w:eastAsia="zh-CN"/>
        </w:rPr>
        <w:t>污染状况初步调查报告公示</w:t>
      </w:r>
    </w:p>
    <w:p w:rsidR="008332A4" w:rsidRPr="008332A4" w:rsidRDefault="008332A4" w:rsidP="008332A4">
      <w:pPr>
        <w:widowControl w:val="0"/>
        <w:spacing w:after="0" w:line="360" w:lineRule="auto"/>
        <w:ind w:firstLineChars="200" w:firstLine="480"/>
        <w:jc w:val="both"/>
        <w:rPr>
          <w:rFonts w:ascii="Times New Roman" w:hAnsi="Times New Roman"/>
          <w:color w:val="000000" w:themeColor="text1"/>
          <w:sz w:val="24"/>
          <w:szCs w:val="24"/>
          <w:lang w:eastAsia="zh-CN"/>
        </w:rPr>
      </w:pPr>
      <w:r w:rsidRPr="008332A4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百好团块（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一期</w:t>
      </w:r>
      <w:r w:rsidRPr="008332A4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）地块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位于瑞安市沿江西路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163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号（瑞安市永久机电学校以东，沈海高速以西，小横山以南，沿江西路以北区域），总用地面积约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86.6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亩（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57733.62m</w:t>
      </w:r>
      <w:r w:rsidRPr="008332A4">
        <w:rPr>
          <w:rFonts w:ascii="Times New Roman" w:hAnsi="Times New Roman"/>
          <w:color w:val="000000" w:themeColor="text1"/>
          <w:sz w:val="24"/>
          <w:szCs w:val="24"/>
          <w:vertAlign w:val="superscript"/>
          <w:lang w:eastAsia="zh-CN"/>
        </w:rPr>
        <w:t>2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）（用地红线见附图</w:t>
      </w:r>
      <w:r w:rsidRPr="008332A4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1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0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），原为工业用地</w:t>
      </w:r>
      <w:r w:rsidRPr="008332A4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，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由瑞安市百好乳业有限公司（原百好乳品厂）等企业开发利用，除局部出租使用外多处于空置状态，为提高土地资源使用效能，现规划建设用地性质拟</w:t>
      </w:r>
      <w:r w:rsidRPr="008332A4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变更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为居住用地（</w:t>
      </w:r>
      <w:r w:rsidRPr="008332A4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R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21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）</w:t>
      </w:r>
      <w:r w:rsidRPr="008332A4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，用于打造康养功能区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。</w:t>
      </w:r>
    </w:p>
    <w:p w:rsidR="008332A4" w:rsidRPr="008332A4" w:rsidRDefault="008332A4" w:rsidP="008332A4">
      <w:pPr>
        <w:widowControl w:val="0"/>
        <w:spacing w:after="0" w:line="360" w:lineRule="auto"/>
        <w:ind w:firstLineChars="200" w:firstLine="480"/>
        <w:jc w:val="both"/>
        <w:rPr>
          <w:rFonts w:ascii="Times New Roman" w:hAnsi="Times New Roman"/>
          <w:color w:val="000000" w:themeColor="text1"/>
          <w:sz w:val="24"/>
          <w:szCs w:val="24"/>
          <w:lang w:eastAsia="zh-CN"/>
        </w:rPr>
      </w:pP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根据《中华人民共和国土壤污染防治法》第五十九条和《关于印发温州市土壤污染防治工作方案》（温政发【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2017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】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27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号），用途变更为住宅、公共管理与公共服务用地的，变更前应当按照规定进行土壤污染状况调查。因此，温州市生态环境局瑞安分局要求</w:t>
      </w:r>
      <w:r w:rsidRPr="008332A4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百好团块（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一期</w:t>
      </w:r>
      <w:r w:rsidRPr="008332A4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）地块土地性质变更前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开展土壤污染状况调查工作。由此，瑞安安阳中心城区开发建设中心通过公开招投标方式，委托浙江东天虹环保工程有限公司开展</w:t>
      </w:r>
      <w:r w:rsidRPr="008332A4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百好团块（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一期</w:t>
      </w:r>
      <w:r w:rsidRPr="008332A4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）地块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土壤污染状况初步调查工作。</w:t>
      </w:r>
    </w:p>
    <w:p w:rsidR="008332A4" w:rsidRPr="008332A4" w:rsidRDefault="008332A4" w:rsidP="008332A4">
      <w:pPr>
        <w:widowControl w:val="0"/>
        <w:spacing w:after="0" w:line="360" w:lineRule="auto"/>
        <w:ind w:firstLineChars="200" w:firstLine="480"/>
        <w:jc w:val="both"/>
        <w:rPr>
          <w:rFonts w:ascii="Times New Roman" w:hAnsi="Times New Roman"/>
          <w:color w:val="000000" w:themeColor="text1"/>
          <w:sz w:val="24"/>
          <w:szCs w:val="24"/>
          <w:lang w:eastAsia="zh-CN"/>
        </w:rPr>
      </w:pP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我公司在资料收集、现场勘探、人员走访等工作的基础上，完成了</w:t>
      </w:r>
      <w:r w:rsidRPr="008332A4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百好团块（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一期</w:t>
      </w:r>
      <w:r w:rsidRPr="008332A4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）地块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土壤污染状况初步调查布点方案。该方案于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2021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年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3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月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14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日完成专家函审，我公司根据专家函审意见对监测布点方案进行了修改完善，并委托杭州谱尼检测科技有限公司对地块土壤、地下水、地块内积水、附近河道地表水和底泥环境进行采样检测。</w:t>
      </w:r>
    </w:p>
    <w:p w:rsidR="008332A4" w:rsidRPr="008332A4" w:rsidRDefault="008332A4" w:rsidP="008332A4">
      <w:pPr>
        <w:spacing w:after="0" w:line="360" w:lineRule="auto"/>
        <w:ind w:firstLine="482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eastAsia="zh-CN"/>
        </w:rPr>
      </w:pP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根据杭州谱尼检测科技有限公司提供的检测报告，</w:t>
      </w:r>
      <w:r w:rsidRPr="008332A4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地块内氟化物超标点位分散分布于整个场地，且分布于不同深度（地面以下</w:t>
      </w:r>
      <w:r w:rsidRPr="008332A4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0~6m</w:t>
      </w:r>
      <w:r w:rsidRPr="008332A4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）的土壤样品中</w:t>
      </w:r>
      <w:r w:rsidRPr="008332A4">
        <w:rPr>
          <w:rFonts w:ascii="Times New Roman" w:hAnsi="Times New Roman" w:hint="eastAsia"/>
          <w:color w:val="000000" w:themeColor="text1"/>
          <w:kern w:val="2"/>
          <w:sz w:val="24"/>
          <w:szCs w:val="24"/>
          <w:lang w:eastAsia="zh-CN" w:bidi="ar-SA"/>
        </w:rPr>
        <w:t>，最大超标倍数为</w:t>
      </w:r>
      <w:r w:rsidRPr="008332A4">
        <w:rPr>
          <w:rFonts w:ascii="Times New Roman" w:hAnsi="Times New Roman" w:hint="eastAsia"/>
          <w:color w:val="000000" w:themeColor="text1"/>
          <w:kern w:val="2"/>
          <w:sz w:val="24"/>
          <w:szCs w:val="24"/>
          <w:lang w:eastAsia="zh-CN" w:bidi="ar-SA"/>
        </w:rPr>
        <w:t>0</w:t>
      </w:r>
      <w:r w:rsidRPr="008332A4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.68</w:t>
      </w:r>
      <w:r w:rsidRPr="008332A4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倍，整体超标率为</w:t>
      </w:r>
      <w:r w:rsidRPr="008332A4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18%</w:t>
      </w:r>
      <w:r w:rsidRPr="008332A4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。根据</w:t>
      </w:r>
      <w:r w:rsidRPr="008332A4">
        <w:rPr>
          <w:rFonts w:ascii="Times New Roman" w:hAnsi="Times New Roman" w:hint="eastAsia"/>
          <w:color w:val="000000" w:themeColor="text1"/>
          <w:kern w:val="2"/>
          <w:sz w:val="24"/>
          <w:szCs w:val="24"/>
          <w:lang w:eastAsia="zh-CN" w:bidi="ar-SA"/>
        </w:rPr>
        <w:t>当地对氟化物土壤环境</w:t>
      </w:r>
      <w:r w:rsidRPr="008332A4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背景值调查结果，温州市土壤氟化物环境背景</w:t>
      </w:r>
      <w:r w:rsidRPr="008332A4">
        <w:rPr>
          <w:rFonts w:ascii="Times New Roman" w:hAnsi="Times New Roman" w:hint="eastAsia"/>
          <w:color w:val="000000" w:themeColor="text1"/>
          <w:kern w:val="2"/>
          <w:sz w:val="24"/>
          <w:szCs w:val="24"/>
          <w:lang w:eastAsia="zh-CN" w:bidi="ar-SA"/>
        </w:rPr>
        <w:t>值</w:t>
      </w:r>
      <w:r w:rsidRPr="008332A4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普遍偏高。另参照最新</w:t>
      </w:r>
      <w:r w:rsidRPr="008332A4">
        <w:rPr>
          <w:rFonts w:ascii="Times New Roman" w:hAnsi="Times New Roman" w:hint="eastAsia"/>
          <w:color w:val="000000" w:themeColor="text1"/>
          <w:kern w:val="2"/>
          <w:sz w:val="24"/>
          <w:szCs w:val="24"/>
          <w:lang w:eastAsia="zh-CN" w:bidi="ar-SA"/>
        </w:rPr>
        <w:t>《建设用地土壤污染风险评估技术导则（征求意见稿）》（</w:t>
      </w:r>
      <w:r w:rsidRPr="008332A4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浙江省</w:t>
      </w:r>
      <w:r w:rsidRPr="008332A4">
        <w:rPr>
          <w:rFonts w:ascii="Times New Roman" w:hAnsi="Times New Roman" w:hint="eastAsia"/>
          <w:color w:val="000000" w:themeColor="text1"/>
          <w:kern w:val="2"/>
          <w:sz w:val="24"/>
          <w:szCs w:val="24"/>
          <w:lang w:eastAsia="zh-CN" w:bidi="ar-SA"/>
        </w:rPr>
        <w:t>），氟化物敏感用地筛选值标准为</w:t>
      </w:r>
      <w:r w:rsidRPr="008332A4">
        <w:rPr>
          <w:rFonts w:ascii="Times New Roman" w:hAnsi="Times New Roman" w:hint="eastAsia"/>
          <w:color w:val="000000" w:themeColor="text1"/>
          <w:kern w:val="2"/>
          <w:sz w:val="24"/>
          <w:szCs w:val="24"/>
          <w:lang w:eastAsia="zh-CN" w:bidi="ar-SA"/>
        </w:rPr>
        <w:t>2</w:t>
      </w:r>
      <w:r w:rsidRPr="008332A4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000mg/kg</w:t>
      </w:r>
      <w:r w:rsidRPr="008332A4">
        <w:rPr>
          <w:rFonts w:ascii="Times New Roman" w:hAnsi="Times New Roman" w:hint="eastAsia"/>
          <w:color w:val="000000" w:themeColor="text1"/>
          <w:kern w:val="2"/>
          <w:sz w:val="24"/>
          <w:szCs w:val="24"/>
          <w:lang w:eastAsia="zh-CN" w:bidi="ar-SA"/>
        </w:rPr>
        <w:t>，</w:t>
      </w:r>
      <w:r w:rsidRPr="008332A4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本地块土壤氟化物最大</w:t>
      </w:r>
      <w:r w:rsidRPr="008332A4">
        <w:rPr>
          <w:rFonts w:ascii="Times New Roman" w:hAnsi="Times New Roman" w:hint="eastAsia"/>
          <w:color w:val="000000" w:themeColor="text1"/>
          <w:kern w:val="2"/>
          <w:sz w:val="24"/>
          <w:szCs w:val="24"/>
          <w:lang w:eastAsia="zh-CN" w:bidi="ar-SA"/>
        </w:rPr>
        <w:t>含量</w:t>
      </w:r>
      <w:r w:rsidRPr="008332A4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远小于该限值</w:t>
      </w:r>
      <w:r w:rsidRPr="008332A4">
        <w:rPr>
          <w:rFonts w:ascii="Times New Roman" w:hAnsi="Times New Roman" w:hint="eastAsia"/>
          <w:color w:val="000000" w:themeColor="text1"/>
          <w:kern w:val="2"/>
          <w:sz w:val="24"/>
          <w:szCs w:val="24"/>
          <w:lang w:eastAsia="zh-CN" w:bidi="ar-SA"/>
        </w:rPr>
        <w:t>，</w:t>
      </w:r>
      <w:r w:rsidRPr="008332A4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可不作为关注污染物</w:t>
      </w:r>
      <w:r w:rsidRPr="008332A4">
        <w:rPr>
          <w:rFonts w:ascii="Times New Roman" w:hAnsi="Times New Roman" w:hint="eastAsia"/>
          <w:color w:val="000000" w:themeColor="text1"/>
          <w:kern w:val="2"/>
          <w:sz w:val="24"/>
          <w:szCs w:val="24"/>
          <w:lang w:eastAsia="zh-CN" w:bidi="ar-SA"/>
        </w:rPr>
        <w:t>；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锌以及多环芳烃中的单项指标菲、芴、蒽、荧蒽、芘、苯并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(g,h,i)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苝均符合浙江省《污染场地风险评估技术导则》（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DB33/T892-2013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）中</w:t>
      </w:r>
      <w:r w:rsidRPr="008332A4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住宅及公共用地筛选值</w:t>
      </w:r>
      <w:r w:rsidRPr="008332A4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；</w:t>
      </w:r>
      <w:r w:rsidRPr="008332A4">
        <w:rPr>
          <w:rFonts w:ascii="Times New Roman" w:hAnsi="Times New Roman" w:hint="eastAsia"/>
          <w:color w:val="000000" w:themeColor="text1"/>
          <w:kern w:val="2"/>
          <w:sz w:val="24"/>
          <w:szCs w:val="24"/>
          <w:lang w:eastAsia="zh-CN" w:bidi="ar-SA"/>
        </w:rPr>
        <w:t>其他</w:t>
      </w:r>
      <w:r w:rsidRPr="008332A4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检测项目均符合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《土壤环境质量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 xml:space="preserve"> 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建设用地土壤污染风险管控标准（试行）》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lastRenderedPageBreak/>
        <w:t>（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GB36600-2018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）第</w:t>
      </w:r>
      <w:r w:rsidRPr="008332A4">
        <w:rPr>
          <w:rFonts w:ascii="Times New Roman" w:hAnsi="Times New Roman" w:hint="eastAsia"/>
          <w:color w:val="000000" w:themeColor="text1"/>
          <w:sz w:val="24"/>
          <w:szCs w:val="24"/>
          <w:lang w:eastAsia="zh-CN"/>
        </w:rPr>
        <w:t>一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类用地的筛选值。所有地下水检测项目均符合《地下水质量标准》（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GB/T14848-2017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）中的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IV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类标准。</w:t>
      </w:r>
    </w:p>
    <w:p w:rsidR="006003B8" w:rsidRPr="008332A4" w:rsidRDefault="008332A4" w:rsidP="008332A4">
      <w:pPr>
        <w:widowControl w:val="0"/>
        <w:spacing w:after="0" w:line="360" w:lineRule="auto"/>
        <w:ind w:firstLineChars="200" w:firstLine="480"/>
        <w:contextualSpacing/>
        <w:jc w:val="both"/>
        <w:rPr>
          <w:rFonts w:ascii="Times New Roman" w:hAnsi="Times New Roman"/>
          <w:color w:val="000000" w:themeColor="text1"/>
          <w:sz w:val="24"/>
          <w:szCs w:val="24"/>
          <w:lang w:eastAsia="zh-CN"/>
        </w:rPr>
      </w:pP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因此，在用于</w:t>
      </w:r>
      <w:r w:rsidRPr="008332A4">
        <w:rPr>
          <w:rFonts w:ascii="Times New Roman" w:hAnsi="Times New Roman" w:hint="eastAsia"/>
          <w:color w:val="000000" w:themeColor="text1"/>
          <w:kern w:val="2"/>
          <w:sz w:val="24"/>
          <w:szCs w:val="24"/>
          <w:lang w:eastAsia="zh-CN" w:bidi="ar-SA"/>
        </w:rPr>
        <w:t>R</w:t>
      </w:r>
      <w:r w:rsidRPr="008332A4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21</w:t>
      </w:r>
      <w:r w:rsidRPr="008332A4">
        <w:rPr>
          <w:rFonts w:ascii="Times New Roman" w:hAnsi="Times New Roman"/>
          <w:color w:val="000000" w:themeColor="text1"/>
          <w:kern w:val="2"/>
          <w:sz w:val="24"/>
          <w:szCs w:val="24"/>
          <w:lang w:eastAsia="zh-CN" w:bidi="ar-SA"/>
        </w:rPr>
        <w:t>居住用地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建设方向，本地块不属于污染地块，可直接用于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“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第一类用地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”</w:t>
      </w:r>
      <w:r w:rsidRPr="008332A4">
        <w:rPr>
          <w:rFonts w:ascii="Times New Roman" w:hAnsi="Times New Roman"/>
          <w:color w:val="000000" w:themeColor="text1"/>
          <w:sz w:val="24"/>
          <w:szCs w:val="24"/>
          <w:lang w:eastAsia="zh-CN"/>
        </w:rPr>
        <w:t>再开发利用，无需进入下一阶段调查。</w:t>
      </w:r>
    </w:p>
    <w:p w:rsidR="007957CF" w:rsidRDefault="007957CF"/>
    <w:sectPr w:rsidR="007957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4876" w:rsidRDefault="009D4876" w:rsidP="006003B8">
      <w:pPr>
        <w:spacing w:after="0" w:line="240" w:lineRule="auto"/>
      </w:pPr>
      <w:r>
        <w:separator/>
      </w:r>
    </w:p>
  </w:endnote>
  <w:endnote w:type="continuationSeparator" w:id="0">
    <w:p w:rsidR="009D4876" w:rsidRDefault="009D4876" w:rsidP="00600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4876" w:rsidRDefault="009D4876" w:rsidP="006003B8">
      <w:pPr>
        <w:spacing w:after="0" w:line="240" w:lineRule="auto"/>
      </w:pPr>
      <w:r>
        <w:separator/>
      </w:r>
    </w:p>
  </w:footnote>
  <w:footnote w:type="continuationSeparator" w:id="0">
    <w:p w:rsidR="009D4876" w:rsidRDefault="009D4876" w:rsidP="006003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13D"/>
    <w:rsid w:val="00280DC8"/>
    <w:rsid w:val="005E283C"/>
    <w:rsid w:val="006003B8"/>
    <w:rsid w:val="007957CF"/>
    <w:rsid w:val="008332A4"/>
    <w:rsid w:val="009D4876"/>
    <w:rsid w:val="00C1613D"/>
    <w:rsid w:val="00F03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750720-094F-4538-90EB-882CC3876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03B8"/>
    <w:pPr>
      <w:spacing w:after="200" w:line="276" w:lineRule="auto"/>
    </w:pPr>
    <w:rPr>
      <w:rFonts w:ascii="Calibri" w:eastAsia="宋体" w:hAnsi="Calibri" w:cs="Times New Roman"/>
      <w:kern w:val="0"/>
      <w:sz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03B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 w:bidi="ar-SA"/>
    </w:rPr>
  </w:style>
  <w:style w:type="character" w:customStyle="1" w:styleId="Char">
    <w:name w:val="页眉 Char"/>
    <w:basedOn w:val="a0"/>
    <w:link w:val="a3"/>
    <w:uiPriority w:val="99"/>
    <w:rsid w:val="006003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003B8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Theme="minorHAnsi" w:eastAsiaTheme="minorEastAsia" w:hAnsiTheme="minorHAnsi" w:cstheme="minorBidi"/>
      <w:kern w:val="2"/>
      <w:sz w:val="18"/>
      <w:szCs w:val="18"/>
      <w:lang w:eastAsia="zh-CN" w:bidi="ar-SA"/>
    </w:rPr>
  </w:style>
  <w:style w:type="character" w:customStyle="1" w:styleId="Char0">
    <w:name w:val="页脚 Char"/>
    <w:basedOn w:val="a0"/>
    <w:link w:val="a4"/>
    <w:uiPriority w:val="99"/>
    <w:qFormat/>
    <w:rsid w:val="006003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</dc:creator>
  <cp:keywords/>
  <dc:description/>
  <cp:lastModifiedBy>sad</cp:lastModifiedBy>
  <cp:revision>4</cp:revision>
  <dcterms:created xsi:type="dcterms:W3CDTF">2021-04-21T02:59:00Z</dcterms:created>
  <dcterms:modified xsi:type="dcterms:W3CDTF">2022-09-08T04:13:00Z</dcterms:modified>
</cp:coreProperties>
</file>